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32"/>
          <w:szCs w:val="32"/>
        </w:rPr>
      </w:pPr>
      <w:r>
        <w:rPr>
          <w:rFonts w:hint="eastAsia"/>
          <w:b/>
          <w:sz w:val="32"/>
          <w:szCs w:val="32"/>
        </w:rPr>
        <w:t>二标段变更内容</w:t>
      </w:r>
    </w:p>
    <w:p>
      <w:pPr>
        <w:pStyle w:val="2"/>
        <w:numPr>
          <w:ilvl w:val="0"/>
          <w:numId w:val="1"/>
        </w:numPr>
        <w:rPr>
          <w:rFonts w:hint="eastAsia"/>
          <w:b/>
        </w:rPr>
      </w:pPr>
      <w:r>
        <w:rPr>
          <w:rFonts w:hint="eastAsia"/>
          <w:b/>
        </w:rPr>
        <w:t>二标段招标文件第二章“投标人须知”第“</w:t>
      </w:r>
      <w:r>
        <w:rPr>
          <w:rFonts w:hint="eastAsia"/>
          <w:b/>
          <w:lang w:val="en-US" w:eastAsia="zh-CN"/>
        </w:rPr>
        <w:t>6.1</w:t>
      </w:r>
      <w:r>
        <w:rPr>
          <w:rFonts w:hint="eastAsia"/>
          <w:b/>
        </w:rPr>
        <w:t>.1</w:t>
      </w:r>
      <w:r>
        <w:rPr>
          <w:rFonts w:hint="eastAsia"/>
          <w:b/>
          <w:lang w:eastAsia="zh-CN"/>
        </w:rPr>
        <w:t>评标委员会的组建</w:t>
      </w:r>
      <w:r>
        <w:rPr>
          <w:rFonts w:hint="eastAsia"/>
          <w:b/>
        </w:rPr>
        <w:t>”变更为：</w:t>
      </w:r>
    </w:p>
    <w:tbl>
      <w:tblPr>
        <w:tblStyle w:val="9"/>
        <w:tblW w:w="8860" w:type="dxa"/>
        <w:tblInd w:w="17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
      <w:tblGrid>
        <w:gridCol w:w="872"/>
        <w:gridCol w:w="1713"/>
        <w:gridCol w:w="6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trHeight w:val="1283" w:hRule="atLeast"/>
        </w:trPr>
        <w:tc>
          <w:tcPr>
            <w:tcW w:w="87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6.1.1</w:t>
            </w:r>
          </w:p>
        </w:tc>
        <w:tc>
          <w:tcPr>
            <w:tcW w:w="1713"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评标委员会的组建</w:t>
            </w:r>
          </w:p>
        </w:tc>
        <w:tc>
          <w:tcPr>
            <w:tcW w:w="6275" w:type="dxa"/>
            <w:tcBorders>
              <w:top w:val="single" w:color="auto" w:sz="4" w:space="0"/>
              <w:left w:val="nil"/>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sz w:val="24"/>
                <w:szCs w:val="24"/>
                <w:bdr w:val="none" w:color="auto" w:sz="0" w:space="0"/>
                <w:lang w:val="en-US"/>
              </w:rPr>
            </w:pPr>
            <w:r>
              <w:rPr>
                <w:rFonts w:hint="eastAsia" w:ascii="宋体" w:hAnsi="宋体" w:eastAsia="宋体" w:cs="仿宋_GB2312"/>
                <w:kern w:val="2"/>
                <w:sz w:val="24"/>
                <w:szCs w:val="24"/>
                <w:bdr w:val="none" w:color="auto" w:sz="0" w:space="0"/>
                <w:lang w:val="en-US" w:eastAsia="zh-CN" w:bidi="ar"/>
              </w:rPr>
              <w:t>评标委员会由采购人代表和评审专家组成，成员人数为五人。其中评审专家不得少于成员总数的三分之二。评标委员会构成：</w:t>
            </w:r>
            <w:r>
              <w:rPr>
                <w:rFonts w:hint="eastAsia" w:ascii="宋体" w:hAnsi="宋体" w:eastAsia="宋体" w:cs="仿宋_GB2312"/>
                <w:kern w:val="2"/>
                <w:sz w:val="24"/>
                <w:szCs w:val="24"/>
                <w:u w:val="single"/>
                <w:bdr w:val="none" w:color="auto" w:sz="0" w:space="0"/>
                <w:lang w:val="en-US" w:eastAsia="zh-CN" w:bidi="ar"/>
              </w:rPr>
              <w:t>5</w:t>
            </w:r>
            <w:r>
              <w:rPr>
                <w:rFonts w:hint="eastAsia" w:ascii="宋体" w:hAnsi="宋体" w:eastAsia="宋体" w:cs="仿宋_GB2312"/>
                <w:kern w:val="2"/>
                <w:sz w:val="24"/>
                <w:szCs w:val="24"/>
                <w:bdr w:val="none" w:color="auto" w:sz="0" w:space="0"/>
                <w:lang w:val="en-US" w:eastAsia="zh-CN" w:bidi="ar"/>
              </w:rPr>
              <w:t>人，其中采购人代表</w:t>
            </w:r>
            <w:r>
              <w:rPr>
                <w:rFonts w:hint="eastAsia" w:ascii="宋体" w:hAnsi="宋体" w:eastAsia="宋体" w:cs="仿宋_GB2312"/>
                <w:kern w:val="2"/>
                <w:sz w:val="24"/>
                <w:szCs w:val="24"/>
                <w:u w:val="single"/>
                <w:bdr w:val="none" w:color="auto" w:sz="0" w:space="0"/>
                <w:lang w:val="en-US" w:eastAsia="zh-CN" w:bidi="ar"/>
              </w:rPr>
              <w:t>1</w:t>
            </w:r>
            <w:r>
              <w:rPr>
                <w:rFonts w:hint="eastAsia" w:ascii="宋体" w:hAnsi="宋体" w:eastAsia="宋体" w:cs="仿宋_GB2312"/>
                <w:kern w:val="2"/>
                <w:sz w:val="24"/>
                <w:szCs w:val="24"/>
                <w:bdr w:val="none" w:color="auto" w:sz="0" w:space="0"/>
                <w:lang w:val="en-US" w:eastAsia="zh-CN" w:bidi="ar"/>
              </w:rPr>
              <w:t>人，专家</w:t>
            </w:r>
            <w:r>
              <w:rPr>
                <w:rFonts w:hint="eastAsia" w:ascii="宋体" w:hAnsi="宋体" w:eastAsia="宋体" w:cs="仿宋_GB2312"/>
                <w:kern w:val="2"/>
                <w:sz w:val="24"/>
                <w:szCs w:val="24"/>
                <w:u w:val="single"/>
                <w:bdr w:val="none" w:color="auto" w:sz="0" w:space="0"/>
                <w:lang w:val="en-US" w:eastAsia="zh-CN" w:bidi="ar"/>
              </w:rPr>
              <w:t>4</w:t>
            </w:r>
            <w:r>
              <w:rPr>
                <w:rFonts w:hint="eastAsia" w:ascii="宋体" w:hAnsi="宋体" w:eastAsia="宋体" w:cs="仿宋_GB2312"/>
                <w:kern w:val="2"/>
                <w:sz w:val="24"/>
                <w:szCs w:val="24"/>
                <w:bdr w:val="none" w:color="auto" w:sz="0" w:space="0"/>
                <w:lang w:val="en-US" w:eastAsia="zh-CN" w:bidi="ar"/>
              </w:rPr>
              <w:t>人；评标专家确定方式：从相关专家库中随机抽取；</w:t>
            </w:r>
          </w:p>
        </w:tc>
      </w:tr>
    </w:tbl>
    <w:p>
      <w:pPr>
        <w:numPr>
          <w:numId w:val="0"/>
        </w:numPr>
        <w:rPr>
          <w:rFonts w:hint="eastAsia"/>
          <w:lang w:eastAsia="zh-CN"/>
        </w:rPr>
      </w:pPr>
    </w:p>
    <w:p>
      <w:pPr>
        <w:pStyle w:val="2"/>
        <w:rPr>
          <w:rFonts w:hint="eastAsia"/>
          <w:b/>
        </w:rPr>
      </w:pPr>
      <w:r>
        <w:rPr>
          <w:rFonts w:hint="eastAsia"/>
          <w:b/>
          <w:lang w:eastAsia="zh-CN"/>
        </w:rPr>
        <w:t>二、</w:t>
      </w:r>
      <w:r>
        <w:rPr>
          <w:rFonts w:hint="eastAsia"/>
          <w:b/>
        </w:rPr>
        <w:t>二标段招标文件第二章“投标人须知”第“3.4.1投标保证金”变更为：</w:t>
      </w:r>
    </w:p>
    <w:tbl>
      <w:tblPr>
        <w:tblStyle w:val="9"/>
        <w:tblW w:w="90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6"/>
        <w:gridCol w:w="2109"/>
        <w:gridCol w:w="59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33" w:hRule="atLeast"/>
        </w:trPr>
        <w:tc>
          <w:tcPr>
            <w:tcW w:w="94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仿宋_GB2312"/>
                <w:sz w:val="24"/>
              </w:rPr>
            </w:pPr>
            <w:r>
              <w:rPr>
                <w:rFonts w:hint="eastAsia" w:ascii="宋体" w:hAnsi="宋体" w:cs="仿宋_GB2312"/>
                <w:sz w:val="24"/>
              </w:rPr>
              <w:t>3.4.1</w:t>
            </w:r>
          </w:p>
        </w:tc>
        <w:tc>
          <w:tcPr>
            <w:tcW w:w="210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仿宋_GB2312"/>
                <w:sz w:val="24"/>
              </w:rPr>
            </w:pPr>
            <w:r>
              <w:rPr>
                <w:rFonts w:hint="eastAsia" w:ascii="宋体" w:hAnsi="宋体" w:cs="宋体"/>
                <w:sz w:val="24"/>
                <w:szCs w:val="24"/>
              </w:rPr>
              <w:t>投标保证金</w:t>
            </w:r>
          </w:p>
        </w:tc>
        <w:tc>
          <w:tcPr>
            <w:tcW w:w="5945" w:type="dxa"/>
            <w:tcBorders>
              <w:top w:val="single" w:color="auto" w:sz="4" w:space="0"/>
              <w:left w:val="single" w:color="auto" w:sz="4" w:space="0"/>
              <w:bottom w:val="single" w:color="auto" w:sz="4" w:space="0"/>
              <w:right w:val="single" w:color="auto" w:sz="4" w:space="0"/>
            </w:tcBorders>
          </w:tcPr>
          <w:p>
            <w:pPr>
              <w:snapToGrid w:val="0"/>
              <w:spacing w:line="400" w:lineRule="exact"/>
              <w:rPr>
                <w:rFonts w:ascii="宋体" w:hAnsi="宋体"/>
                <w:sz w:val="24"/>
                <w:szCs w:val="24"/>
              </w:rPr>
            </w:pPr>
            <w:r>
              <w:rPr>
                <w:rFonts w:hint="eastAsia" w:ascii="宋体" w:hAnsi="宋体"/>
                <w:sz w:val="24"/>
                <w:szCs w:val="24"/>
              </w:rPr>
              <w:t>交纳方式：电汇或转账。（必须从基本账户转出）</w:t>
            </w:r>
          </w:p>
          <w:p>
            <w:pPr>
              <w:snapToGrid w:val="0"/>
              <w:spacing w:line="400" w:lineRule="exact"/>
              <w:rPr>
                <w:rFonts w:ascii="宋体" w:hAnsi="宋体"/>
                <w:sz w:val="24"/>
                <w:szCs w:val="24"/>
              </w:rPr>
            </w:pPr>
            <w:r>
              <w:rPr>
                <w:rFonts w:hint="eastAsia" w:ascii="宋体" w:hAnsi="宋体"/>
                <w:sz w:val="24"/>
                <w:szCs w:val="24"/>
              </w:rPr>
              <w:t>投标保证金金额为：30000.00元人民币；</w:t>
            </w:r>
          </w:p>
          <w:p>
            <w:pPr>
              <w:snapToGrid w:val="0"/>
              <w:spacing w:line="480" w:lineRule="exact"/>
              <w:rPr>
                <w:rFonts w:ascii="宋体" w:hAnsi="宋体"/>
                <w:sz w:val="24"/>
                <w:szCs w:val="24"/>
              </w:rPr>
            </w:pPr>
            <w:r>
              <w:rPr>
                <w:rFonts w:hint="eastAsia" w:ascii="宋体" w:hAnsi="宋体"/>
                <w:sz w:val="24"/>
                <w:szCs w:val="24"/>
              </w:rPr>
              <w:t>投标保证金缴纳形式：潜在供应商缴纳投标保证金须通过单位银行基本存款账户</w:t>
            </w:r>
            <w:r>
              <w:rPr>
                <w:rStyle w:val="14"/>
                <w:rFonts w:hint="eastAsia" w:ascii="宋体" w:hAnsi="宋体"/>
                <w:sz w:val="24"/>
                <w:szCs w:val="24"/>
                <w:shd w:val="clear" w:color="auto" w:fill="F5F5F5"/>
              </w:rPr>
              <w:t>(请勿使用账户结算卡转账，以免无法绑定)</w:t>
            </w:r>
            <w:r>
              <w:rPr>
                <w:rFonts w:hint="eastAsia" w:ascii="宋体" w:hAnsi="宋体"/>
                <w:sz w:val="24"/>
                <w:szCs w:val="24"/>
              </w:rPr>
              <w:t>采取电汇、转账支票、网上银行形式之一转账至指定账户，非基本存款账户缴纳的投标保证金，视同缴费失败。备注中需注明所</w:t>
            </w:r>
            <w:bookmarkStart w:id="0" w:name="_GoBack"/>
            <w:bookmarkEnd w:id="0"/>
            <w:r>
              <w:rPr>
                <w:rFonts w:hint="eastAsia" w:ascii="宋体" w:hAnsi="宋体"/>
                <w:sz w:val="24"/>
                <w:szCs w:val="24"/>
              </w:rPr>
              <w:t>投项目编号。</w:t>
            </w:r>
          </w:p>
          <w:p>
            <w:pPr>
              <w:snapToGrid w:val="0"/>
              <w:spacing w:line="480" w:lineRule="exact"/>
              <w:rPr>
                <w:rFonts w:ascii="宋体" w:hAnsi="宋体"/>
                <w:sz w:val="24"/>
                <w:szCs w:val="24"/>
              </w:rPr>
            </w:pPr>
            <w:r>
              <w:rPr>
                <w:rFonts w:hint="eastAsia" w:ascii="宋体" w:hAnsi="宋体"/>
                <w:sz w:val="24"/>
                <w:szCs w:val="24"/>
              </w:rPr>
              <w:t>账户名称：长垣县公共资源交易管理中心投标保证金往来账户</w:t>
            </w:r>
          </w:p>
          <w:p>
            <w:pPr>
              <w:snapToGrid w:val="0"/>
              <w:spacing w:line="480" w:lineRule="exact"/>
              <w:rPr>
                <w:rFonts w:ascii="宋体" w:hAnsi="宋体"/>
                <w:sz w:val="24"/>
                <w:szCs w:val="24"/>
              </w:rPr>
            </w:pPr>
            <w:r>
              <w:rPr>
                <w:rFonts w:hint="eastAsia" w:ascii="宋体" w:hAnsi="宋体"/>
                <w:sz w:val="24"/>
                <w:szCs w:val="24"/>
              </w:rPr>
              <w:t>开 户 行：中国工商银行长垣县支行</w:t>
            </w:r>
          </w:p>
          <w:p>
            <w:pPr>
              <w:snapToGrid w:val="0"/>
              <w:spacing w:line="480" w:lineRule="exact"/>
              <w:rPr>
                <w:rFonts w:ascii="宋体" w:hAnsi="宋体"/>
                <w:sz w:val="24"/>
                <w:szCs w:val="24"/>
              </w:rPr>
            </w:pPr>
            <w:r>
              <w:rPr>
                <w:rFonts w:hint="eastAsia" w:ascii="宋体" w:hAnsi="宋体"/>
                <w:sz w:val="24"/>
                <w:szCs w:val="24"/>
              </w:rPr>
              <w:t>账    号：XXXXXXXXXXXXXXXXXXXXXX(以系统生成子账号为准）</w:t>
            </w:r>
          </w:p>
          <w:p>
            <w:pPr>
              <w:snapToGrid w:val="0"/>
              <w:spacing w:line="480" w:lineRule="exact"/>
              <w:rPr>
                <w:rFonts w:ascii="宋体" w:hAnsi="宋体"/>
                <w:sz w:val="24"/>
                <w:szCs w:val="24"/>
              </w:rPr>
            </w:pPr>
            <w:r>
              <w:rPr>
                <w:rStyle w:val="14"/>
                <w:rFonts w:hint="eastAsia" w:ascii="宋体" w:hAnsi="宋体"/>
                <w:sz w:val="24"/>
                <w:szCs w:val="24"/>
                <w:shd w:val="clear" w:color="auto" w:fill="F5F5F5"/>
              </w:rPr>
              <w:t>保证金账号（即系统生成子账号）获取方式：</w:t>
            </w:r>
            <w:r>
              <w:rPr>
                <w:rFonts w:hint="eastAsia" w:ascii="宋体" w:hAnsi="宋体"/>
                <w:sz w:val="24"/>
                <w:szCs w:val="24"/>
              </w:rPr>
              <w:t>供应商用CA登录交易平台——网上报名——费用缴纳指南及注意事项——费用缴费说明单，按照系统产生的虚拟子账户进行保证金缴纳</w:t>
            </w:r>
          </w:p>
          <w:p>
            <w:pPr>
              <w:snapToGrid w:val="0"/>
              <w:spacing w:line="480" w:lineRule="exact"/>
              <w:rPr>
                <w:rFonts w:ascii="宋体" w:hAnsi="宋体"/>
                <w:b/>
                <w:bCs/>
                <w:sz w:val="24"/>
                <w:szCs w:val="24"/>
              </w:rPr>
            </w:pPr>
            <w:r>
              <w:rPr>
                <w:rFonts w:hint="eastAsia" w:ascii="宋体" w:hAnsi="宋体"/>
                <w:b/>
                <w:bCs/>
                <w:sz w:val="24"/>
                <w:szCs w:val="24"/>
              </w:rPr>
              <w:t>1、不同供应商的保证金账号是不同的。</w:t>
            </w:r>
          </w:p>
          <w:p>
            <w:pPr>
              <w:snapToGrid w:val="0"/>
              <w:spacing w:line="480" w:lineRule="exact"/>
              <w:rPr>
                <w:rFonts w:ascii="宋体" w:hAnsi="宋体"/>
                <w:b/>
                <w:bCs/>
                <w:sz w:val="24"/>
                <w:szCs w:val="24"/>
              </w:rPr>
            </w:pPr>
            <w:r>
              <w:rPr>
                <w:rFonts w:hint="eastAsia" w:ascii="宋体" w:hAnsi="宋体"/>
                <w:b/>
                <w:bCs/>
                <w:sz w:val="24"/>
                <w:szCs w:val="24"/>
              </w:rPr>
              <w:t>2、每个标段下的每个供应商一个账号，即如果该项目有多个标段，供应商报了N个标段，就会生成N个不同的虚拟子账户，供应商缴纳保证金时就需要向这N个子账户里面分别进行缴纳。</w:t>
            </w:r>
          </w:p>
          <w:p>
            <w:pPr>
              <w:snapToGrid w:val="0"/>
              <w:spacing w:line="480" w:lineRule="exact"/>
              <w:rPr>
                <w:rFonts w:ascii="宋体" w:hAnsi="宋体"/>
                <w:b/>
                <w:bCs/>
                <w:sz w:val="24"/>
                <w:szCs w:val="24"/>
              </w:rPr>
            </w:pPr>
            <w:r>
              <w:rPr>
                <w:rFonts w:hint="eastAsia" w:ascii="宋体" w:hAnsi="宋体"/>
                <w:b/>
                <w:bCs/>
                <w:sz w:val="24"/>
                <w:szCs w:val="24"/>
              </w:rPr>
              <w:t>3、如果供应商没有按照系统分配的子账号进行缴纳，会导致系统无法识别保证金缴纳情况，视同缴纳失败。</w:t>
            </w:r>
          </w:p>
          <w:p>
            <w:pPr>
              <w:snapToGrid w:val="0"/>
              <w:spacing w:line="480" w:lineRule="exact"/>
              <w:rPr>
                <w:rFonts w:ascii="宋体" w:hAnsi="宋体"/>
                <w:sz w:val="24"/>
                <w:szCs w:val="24"/>
              </w:rPr>
            </w:pPr>
            <w:r>
              <w:rPr>
                <w:rFonts w:hint="eastAsia" w:ascii="宋体" w:hAnsi="宋体"/>
                <w:b/>
                <w:bCs/>
                <w:sz w:val="24"/>
                <w:szCs w:val="24"/>
              </w:rPr>
              <w:t>操作步骤：供应商用CA登陆交易平台--网上报名--费用缴纳指南及注意事项--费用缴纳说明单，返回--费用缴纳查询--保证金绑定（必须生成缴费说明单，这一步不可省略）</w:t>
            </w:r>
          </w:p>
          <w:p>
            <w:pPr>
              <w:snapToGrid w:val="0"/>
              <w:spacing w:line="480" w:lineRule="exact"/>
              <w:rPr>
                <w:rFonts w:ascii="宋体" w:hAnsi="宋体"/>
                <w:sz w:val="24"/>
                <w:szCs w:val="24"/>
              </w:rPr>
            </w:pPr>
            <w:r>
              <w:rPr>
                <w:rFonts w:hint="eastAsia" w:ascii="宋体" w:hAnsi="宋体"/>
                <w:sz w:val="24"/>
                <w:szCs w:val="24"/>
              </w:rPr>
              <w:t>缴纳截止及绑定截止时间：</w:t>
            </w:r>
            <w:r>
              <w:rPr>
                <w:rFonts w:hint="eastAsia" w:ascii="宋体" w:hAnsi="宋体"/>
                <w:sz w:val="24"/>
                <w:szCs w:val="24"/>
                <w:highlight w:val="none"/>
              </w:rPr>
              <w:t>2018年12月</w:t>
            </w:r>
            <w:r>
              <w:rPr>
                <w:rFonts w:hint="eastAsia" w:ascii="宋体" w:hAnsi="宋体"/>
                <w:sz w:val="24"/>
                <w:szCs w:val="24"/>
                <w:highlight w:val="none"/>
                <w:lang w:val="en-US" w:eastAsia="zh-CN"/>
              </w:rPr>
              <w:t>26</w:t>
            </w:r>
            <w:r>
              <w:rPr>
                <w:rFonts w:hint="eastAsia" w:ascii="宋体" w:hAnsi="宋体"/>
                <w:sz w:val="24"/>
                <w:szCs w:val="24"/>
                <w:highlight w:val="none"/>
              </w:rPr>
              <w:t>日16:3</w:t>
            </w:r>
            <w:r>
              <w:rPr>
                <w:rFonts w:hint="eastAsia" w:ascii="宋体" w:hAnsi="宋体"/>
                <w:sz w:val="24"/>
                <w:szCs w:val="24"/>
              </w:rPr>
              <w:t>0时（以到账时间为准）</w:t>
            </w:r>
          </w:p>
          <w:p>
            <w:pPr>
              <w:snapToGrid w:val="0"/>
              <w:spacing w:line="480" w:lineRule="exact"/>
              <w:rPr>
                <w:rFonts w:ascii="宋体" w:hAnsi="宋体"/>
                <w:sz w:val="24"/>
                <w:szCs w:val="24"/>
              </w:rPr>
            </w:pPr>
            <w:r>
              <w:rPr>
                <w:rFonts w:hint="eastAsia" w:ascii="宋体" w:hAnsi="宋体"/>
                <w:sz w:val="24"/>
                <w:szCs w:val="24"/>
              </w:rPr>
              <w:t>特别提醒：</w:t>
            </w:r>
          </w:p>
          <w:p>
            <w:pPr>
              <w:snapToGrid w:val="0"/>
              <w:spacing w:line="480" w:lineRule="exact"/>
              <w:rPr>
                <w:rFonts w:ascii="宋体" w:hAnsi="宋体"/>
                <w:sz w:val="24"/>
                <w:szCs w:val="24"/>
              </w:rPr>
            </w:pPr>
            <w:r>
              <w:rPr>
                <w:rFonts w:hint="eastAsia" w:ascii="宋体" w:hAnsi="宋体"/>
                <w:sz w:val="24"/>
                <w:szCs w:val="24"/>
              </w:rPr>
              <w:t>1、投标保证金缴纳截止时间和投标保证金绑定时间为同一时间，请供应商合理安排投标保证金到账及绑定时间。</w:t>
            </w:r>
          </w:p>
          <w:p>
            <w:pPr>
              <w:snapToGrid w:val="0"/>
              <w:spacing w:line="480" w:lineRule="exact"/>
              <w:jc w:val="left"/>
              <w:rPr>
                <w:rFonts w:ascii="宋体" w:hAnsi="宋体"/>
                <w:sz w:val="24"/>
                <w:szCs w:val="24"/>
              </w:rPr>
            </w:pPr>
            <w:r>
              <w:rPr>
                <w:rFonts w:hint="eastAsia" w:ascii="宋体" w:hAnsi="宋体"/>
                <w:sz w:val="24"/>
                <w:szCs w:val="24"/>
              </w:rPr>
              <w:t>2、保证金缴纳后需要绑定到标段，绑定操作流程可以在“长垣县公共资源交易管理中心网”首页右下角文档下载中查看（</w:t>
            </w:r>
            <w:r>
              <w:fldChar w:fldCharType="begin"/>
            </w:r>
            <w:r>
              <w:instrText xml:space="preserve"> HYPERLINK "http://cyxggzy.cn/dcqjy/15101.jhtml" </w:instrText>
            </w:r>
            <w:r>
              <w:fldChar w:fldCharType="separate"/>
            </w:r>
            <w:r>
              <w:rPr>
                <w:rStyle w:val="8"/>
                <w:rFonts w:hint="eastAsia" w:ascii="宋体" w:hAnsi="宋体"/>
                <w:sz w:val="24"/>
                <w:szCs w:val="24"/>
              </w:rPr>
              <w:t>http://cyxggzy.cn/dcqjy/15101.jhtml</w:t>
            </w:r>
            <w:r>
              <w:rPr>
                <w:rStyle w:val="8"/>
                <w:rFonts w:hint="eastAsia" w:ascii="宋体" w:hAnsi="宋体"/>
                <w:sz w:val="24"/>
                <w:szCs w:val="24"/>
              </w:rPr>
              <w:fldChar w:fldCharType="end"/>
            </w:r>
            <w:r>
              <w:t>）</w:t>
            </w:r>
          </w:p>
          <w:p>
            <w:pPr>
              <w:snapToGrid w:val="0"/>
              <w:spacing w:line="480" w:lineRule="exact"/>
              <w:rPr>
                <w:rFonts w:ascii="宋体" w:hAnsi="宋体"/>
                <w:sz w:val="24"/>
                <w:szCs w:val="24"/>
              </w:rPr>
            </w:pPr>
            <w:r>
              <w:rPr>
                <w:rFonts w:hint="eastAsia" w:ascii="宋体" w:hAnsi="宋体"/>
                <w:sz w:val="24"/>
                <w:szCs w:val="24"/>
              </w:rPr>
              <w:t>3、交纳保证金的开户银行及账号必须和供应商信息库中基本存款账户信息一致，如果不一致会导致系统无法识别保证金交纳情况。</w:t>
            </w:r>
          </w:p>
          <w:p>
            <w:pPr>
              <w:snapToGrid w:val="0"/>
              <w:spacing w:line="480" w:lineRule="exact"/>
              <w:rPr>
                <w:rFonts w:ascii="宋体" w:hAnsi="宋体"/>
                <w:sz w:val="24"/>
                <w:szCs w:val="24"/>
              </w:rPr>
            </w:pPr>
            <w:r>
              <w:rPr>
                <w:rFonts w:hint="eastAsia" w:ascii="宋体" w:hAnsi="宋体"/>
                <w:sz w:val="24"/>
                <w:szCs w:val="24"/>
              </w:rPr>
              <w:t>4、如投报多个标段必须按标段分别交纳投标保证金。每个标段的保证金必须一次性全额转账，多交或少交或一个标段分次转账的保证金无法合并无法绑定。</w:t>
            </w:r>
          </w:p>
          <w:p>
            <w:pPr>
              <w:snapToGrid w:val="0"/>
              <w:spacing w:line="480" w:lineRule="exact"/>
              <w:rPr>
                <w:rFonts w:ascii="宋体" w:hAnsi="宋体"/>
                <w:sz w:val="24"/>
                <w:szCs w:val="24"/>
              </w:rPr>
            </w:pPr>
            <w:r>
              <w:rPr>
                <w:rFonts w:hint="eastAsia" w:ascii="宋体" w:hAnsi="宋体"/>
                <w:sz w:val="24"/>
                <w:szCs w:val="24"/>
              </w:rPr>
              <w:t>5、保证金交纳成功后，请务必到系统保证金交纳页面查询投标保证金到达交易中心账户情况；如未查到基本账户交纳保证金的信息，请及时查看本单位名称与账号注册情况，或与办理业务银行联系解决；</w:t>
            </w:r>
          </w:p>
          <w:p>
            <w:pPr>
              <w:snapToGrid w:val="0"/>
              <w:spacing w:line="480" w:lineRule="exact"/>
              <w:rPr>
                <w:rFonts w:ascii="宋体" w:hAnsi="宋体"/>
                <w:sz w:val="24"/>
                <w:szCs w:val="24"/>
              </w:rPr>
            </w:pPr>
            <w:r>
              <w:rPr>
                <w:rFonts w:hint="eastAsia" w:ascii="宋体" w:hAnsi="宋体"/>
                <w:sz w:val="24"/>
                <w:szCs w:val="24"/>
              </w:rPr>
              <w:t>6、经查询系统显示保证金已到账，请务必进行该标段保证金绑定，并打印保证金支付回执单。供应商应将打印的保证金支付回执单做为投标保证金交纳证明。保证金支付回执单须附在投标文件中。</w:t>
            </w:r>
          </w:p>
          <w:p>
            <w:pPr>
              <w:snapToGrid w:val="0"/>
              <w:spacing w:line="480" w:lineRule="exact"/>
              <w:rPr>
                <w:rFonts w:ascii="宋体" w:hAnsi="宋体"/>
                <w:sz w:val="24"/>
                <w:szCs w:val="24"/>
              </w:rPr>
            </w:pPr>
            <w:r>
              <w:rPr>
                <w:rFonts w:hint="eastAsia" w:ascii="宋体" w:hAnsi="宋体"/>
                <w:sz w:val="24"/>
                <w:szCs w:val="24"/>
              </w:rPr>
              <w:t>7、如供应商未按上述要求交纳及绑定保证金，视为未交纳投标保证金并按无效标处理，由此造成的一切后果由供应商自行承担。</w:t>
            </w:r>
          </w:p>
          <w:p>
            <w:pPr>
              <w:jc w:val="left"/>
              <w:rPr>
                <w:rFonts w:ascii="宋体" w:hAnsi="宋体" w:cs="仿宋_GB2312"/>
                <w:sz w:val="24"/>
              </w:rPr>
            </w:pPr>
            <w:r>
              <w:rPr>
                <w:rFonts w:hint="eastAsia" w:ascii="宋体" w:hAnsi="宋体"/>
                <w:sz w:val="24"/>
                <w:szCs w:val="24"/>
              </w:rPr>
              <w:t>8、如果项目需要进行再次招标，供应商需要按照上述步骤重新缴纳和绑定保证金。</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宋体">
    <w:panose1 w:val="02010600030101010101"/>
    <w:charset w:val="86"/>
    <w:family w:val="auto"/>
    <w:pitch w:val="variable"/>
    <w:sig w:usb0="00000003" w:usb1="288F0000" w:usb2="0000000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A94AC9"/>
    <w:multiLevelType w:val="singleLevel"/>
    <w:tmpl w:val="72A94AC9"/>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2"/>
  </w:compat>
  <w:rsids>
    <w:rsidRoot w:val="00AB5237"/>
    <w:rsid w:val="000D19D9"/>
    <w:rsid w:val="001A4FD6"/>
    <w:rsid w:val="001E171B"/>
    <w:rsid w:val="003A0803"/>
    <w:rsid w:val="0058316E"/>
    <w:rsid w:val="008B63D7"/>
    <w:rsid w:val="00935C1A"/>
    <w:rsid w:val="009A73B6"/>
    <w:rsid w:val="009C41C5"/>
    <w:rsid w:val="00A4337F"/>
    <w:rsid w:val="00AB5237"/>
    <w:rsid w:val="00E12E92"/>
    <w:rsid w:val="00E736B5"/>
    <w:rsid w:val="00EF7097"/>
    <w:rsid w:val="34D70A8E"/>
    <w:rsid w:val="5AE84CB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semiHidden="0"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2"/>
    <w:basedOn w:val="1"/>
    <w:next w:val="1"/>
    <w:link w:val="12"/>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7">
    <w:name w:val="Default Paragraph Font"/>
    <w:semiHidden/>
    <w:unhideWhenUsed/>
    <w:uiPriority w:val="1"/>
  </w:style>
  <w:style w:type="table" w:default="1" w:styleId="9">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Calibri" w:hAnsi="Calibri" w:cs="Times New Roman"/>
      <w:sz w:val="20"/>
      <w:szCs w:val="20"/>
    </w:rPr>
    <w:tblPr>
      <w:tblLayout w:type="fixed"/>
      <w:tblCellMar>
        <w:top w:w="0" w:type="dxa"/>
        <w:left w:w="108" w:type="dxa"/>
        <w:bottom w:w="0" w:type="dxa"/>
        <w:right w:w="108" w:type="dxa"/>
      </w:tblCellMar>
    </w:tblPr>
  </w:style>
  <w:style w:type="paragraph" w:styleId="2">
    <w:name w:val="toa heading"/>
    <w:basedOn w:val="1"/>
    <w:next w:val="1"/>
    <w:unhideWhenUsed/>
    <w:uiPriority w:val="99"/>
    <w:pPr>
      <w:spacing w:before="120"/>
    </w:pPr>
    <w:rPr>
      <w:rFonts w:eastAsia="宋体" w:asciiTheme="majorHAnsi" w:hAnsiTheme="majorHAnsi" w:cstheme="majorBidi"/>
      <w:sz w:val="24"/>
      <w:szCs w:val="24"/>
    </w:rPr>
  </w:style>
  <w:style w:type="paragraph" w:styleId="4">
    <w:name w:val="Document Map"/>
    <w:basedOn w:val="1"/>
    <w:link w:val="13"/>
    <w:semiHidden/>
    <w:unhideWhenUsed/>
    <w:uiPriority w:val="99"/>
    <w:rPr>
      <w:rFonts w:ascii="宋体" w:eastAsia="宋体"/>
      <w:sz w:val="18"/>
      <w:szCs w:val="18"/>
    </w:rPr>
  </w:style>
  <w:style w:type="paragraph" w:styleId="5">
    <w:name w:val="footer"/>
    <w:basedOn w:val="1"/>
    <w:link w:val="11"/>
    <w:semiHidden/>
    <w:unhideWhenUsed/>
    <w:qFormat/>
    <w:uiPriority w:val="99"/>
    <w:pPr>
      <w:tabs>
        <w:tab w:val="center" w:pos="4153"/>
        <w:tab w:val="right" w:pos="8306"/>
      </w:tabs>
      <w:snapToGrid w:val="0"/>
      <w:jc w:val="left"/>
    </w:pPr>
    <w:rPr>
      <w:sz w:val="18"/>
      <w:szCs w:val="18"/>
    </w:rPr>
  </w:style>
  <w:style w:type="paragraph" w:styleId="6">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Hyperlink"/>
    <w:basedOn w:val="7"/>
    <w:qFormat/>
    <w:uiPriority w:val="99"/>
    <w:rPr>
      <w:color w:val="333333"/>
      <w:u w:val="none"/>
    </w:rPr>
  </w:style>
  <w:style w:type="character" w:customStyle="1" w:styleId="10">
    <w:name w:val="页眉 Char"/>
    <w:basedOn w:val="7"/>
    <w:link w:val="6"/>
    <w:semiHidden/>
    <w:qFormat/>
    <w:uiPriority w:val="99"/>
    <w:rPr>
      <w:sz w:val="18"/>
      <w:szCs w:val="18"/>
    </w:rPr>
  </w:style>
  <w:style w:type="character" w:customStyle="1" w:styleId="11">
    <w:name w:val="页脚 Char"/>
    <w:basedOn w:val="7"/>
    <w:link w:val="5"/>
    <w:semiHidden/>
    <w:uiPriority w:val="99"/>
    <w:rPr>
      <w:sz w:val="18"/>
      <w:szCs w:val="18"/>
    </w:rPr>
  </w:style>
  <w:style w:type="character" w:customStyle="1" w:styleId="12">
    <w:name w:val="标题 2 Char"/>
    <w:basedOn w:val="7"/>
    <w:link w:val="3"/>
    <w:qFormat/>
    <w:uiPriority w:val="9"/>
    <w:rPr>
      <w:rFonts w:asciiTheme="majorHAnsi" w:hAnsiTheme="majorHAnsi" w:eastAsiaTheme="majorEastAsia" w:cstheme="majorBidi"/>
      <w:b/>
      <w:bCs/>
      <w:sz w:val="32"/>
      <w:szCs w:val="32"/>
    </w:rPr>
  </w:style>
  <w:style w:type="character" w:customStyle="1" w:styleId="13">
    <w:name w:val="文档结构图 Char"/>
    <w:basedOn w:val="7"/>
    <w:link w:val="4"/>
    <w:semiHidden/>
    <w:qFormat/>
    <w:uiPriority w:val="99"/>
    <w:rPr>
      <w:rFonts w:ascii="宋体" w:eastAsia="宋体"/>
      <w:sz w:val="18"/>
      <w:szCs w:val="18"/>
    </w:rPr>
  </w:style>
  <w:style w:type="character" w:customStyle="1" w:styleId="14">
    <w:name w:val="16"/>
    <w:basedOn w:val="7"/>
    <w:qFormat/>
    <w:uiPriority w:val="0"/>
    <w:rPr>
      <w:rFonts w:hint="default" w:ascii="Times New Roman" w:hAnsi="Times New Roman" w:cs="Times New Roman"/>
      <w:b/>
      <w:bC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2</Pages>
  <Words>188</Words>
  <Characters>1078</Characters>
  <Lines>8</Lines>
  <Paragraphs>2</Paragraphs>
  <TotalTime>16</TotalTime>
  <ScaleCrop>false</ScaleCrop>
  <LinksUpToDate>false</LinksUpToDate>
  <CharactersWithSpaces>1264</CharactersWithSpaces>
  <Application>WPS Office_11.1.0.8013_F1E327BC-269C-435d-A152-05C5408002CA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2018-12-03T07:10:00Z</dcterms:created>
  <dc:creator>Sky123.Org</dc:creator>
  <cp:lastModifiedBy>Administrator</cp:lastModifiedBy>
  <dcterms:modified xsi:type="dcterms:W3CDTF">2018-12-11T08:19:22Z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2052-11.1.0.8013</vt:lpwstr>
  </property>
</Properties>
</file>